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014D7393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>NAZIV KORISNIKA: SREDNJA ŠKOLA</w:t>
      </w:r>
      <w:r w:rsidR="0079229B">
        <w:rPr>
          <w:rFonts w:ascii="Times New Roman" w:hAnsi="Times New Roman"/>
          <w:b/>
        </w:rPr>
        <w:t xml:space="preserve"> FRA ANDRIJE KAČIĆA MIOŠIĆA, PLOČE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7E5172B2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 w:rsidR="001079AA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</w:t>
      </w:r>
      <w:r w:rsidR="001079AA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38"/>
        <w:gridCol w:w="4223"/>
        <w:gridCol w:w="1371"/>
        <w:gridCol w:w="1418"/>
        <w:gridCol w:w="1417"/>
      </w:tblGrid>
      <w:tr w:rsidR="00907E62" w:rsidRPr="00EC7944" w14:paraId="59869E21" w14:textId="77777777" w:rsidTr="00602A8B">
        <w:tc>
          <w:tcPr>
            <w:tcW w:w="640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ADBB19C" w14:textId="59F3DA8E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>
              <w:rPr>
                <w:rFonts w:ascii="Times New Roman" w:hAnsi="Times New Roman"/>
                <w:b/>
              </w:rPr>
              <w:t>5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57A01972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10985540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602A8B">
        <w:tc>
          <w:tcPr>
            <w:tcW w:w="640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2" w:type="dxa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14:paraId="59416951" w14:textId="0F4FB27C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2.288,00</w:t>
            </w:r>
          </w:p>
        </w:tc>
        <w:tc>
          <w:tcPr>
            <w:tcW w:w="1418" w:type="dxa"/>
            <w:vAlign w:val="center"/>
          </w:tcPr>
          <w:p w14:paraId="3D721CDF" w14:textId="6A31D120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417" w:type="dxa"/>
            <w:vAlign w:val="center"/>
          </w:tcPr>
          <w:p w14:paraId="5DCA65AF" w14:textId="1430A4AD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907E62" w:rsidRPr="00EC7944" w14:paraId="2B3F0FBF" w14:textId="77777777" w:rsidTr="00602A8B">
        <w:tc>
          <w:tcPr>
            <w:tcW w:w="640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2" w:type="dxa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14:paraId="42A4CCB2" w14:textId="7F7EF97D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2.044.600,00</w:t>
            </w:r>
          </w:p>
        </w:tc>
        <w:tc>
          <w:tcPr>
            <w:tcW w:w="1418" w:type="dxa"/>
            <w:vAlign w:val="center"/>
          </w:tcPr>
          <w:p w14:paraId="474D95C4" w14:textId="292A317A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2.044.600,00</w:t>
            </w:r>
          </w:p>
        </w:tc>
        <w:tc>
          <w:tcPr>
            <w:tcW w:w="1417" w:type="dxa"/>
            <w:vAlign w:val="center"/>
          </w:tcPr>
          <w:p w14:paraId="06775686" w14:textId="1B123133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2.044.600,00</w:t>
            </w:r>
          </w:p>
        </w:tc>
      </w:tr>
      <w:tr w:rsidR="00907E62" w:rsidRPr="00EC7944" w14:paraId="372335EC" w14:textId="77777777" w:rsidTr="00602A8B">
        <w:tc>
          <w:tcPr>
            <w:tcW w:w="640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14:paraId="0457B457" w14:textId="45362453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126.900,00</w:t>
            </w:r>
          </w:p>
        </w:tc>
        <w:tc>
          <w:tcPr>
            <w:tcW w:w="1418" w:type="dxa"/>
            <w:vAlign w:val="center"/>
          </w:tcPr>
          <w:p w14:paraId="33AE1C96" w14:textId="36D67370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126.900,00</w:t>
            </w:r>
          </w:p>
        </w:tc>
        <w:tc>
          <w:tcPr>
            <w:tcW w:w="1417" w:type="dxa"/>
            <w:vAlign w:val="center"/>
          </w:tcPr>
          <w:p w14:paraId="398B7C10" w14:textId="23F63185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126.900,00</w:t>
            </w:r>
          </w:p>
        </w:tc>
      </w:tr>
      <w:tr w:rsidR="00907E62" w:rsidRPr="00EC7944" w14:paraId="0C8E226B" w14:textId="77777777" w:rsidTr="00602A8B">
        <w:tc>
          <w:tcPr>
            <w:tcW w:w="640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14:paraId="6F2A530F" w14:textId="3305221B" w:rsidR="00907E62" w:rsidRPr="00EC7944" w:rsidRDefault="00295CDD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2.173.788,00</w:t>
            </w:r>
          </w:p>
        </w:tc>
        <w:tc>
          <w:tcPr>
            <w:tcW w:w="1418" w:type="dxa"/>
            <w:vAlign w:val="center"/>
          </w:tcPr>
          <w:p w14:paraId="45C14A2E" w14:textId="03AEF676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2.171.500,00</w:t>
            </w:r>
          </w:p>
        </w:tc>
        <w:tc>
          <w:tcPr>
            <w:tcW w:w="1417" w:type="dxa"/>
            <w:vAlign w:val="center"/>
          </w:tcPr>
          <w:p w14:paraId="23479790" w14:textId="5C176B66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2.171.500,00</w:t>
            </w:r>
          </w:p>
        </w:tc>
      </w:tr>
    </w:tbl>
    <w:p w14:paraId="43CB11B4" w14:textId="77777777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07E62" w:rsidRPr="00EC7944" w14:paraId="63CB337A" w14:textId="77777777" w:rsidTr="00602A8B">
        <w:tc>
          <w:tcPr>
            <w:tcW w:w="1838" w:type="dxa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vAlign w:val="center"/>
          </w:tcPr>
          <w:p w14:paraId="4DCF9CC8" w14:textId="0DA2049B" w:rsidR="00907E62" w:rsidRPr="00EC7944" w:rsidRDefault="00674A1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</w:tcPr>
          <w:p w14:paraId="30BE83F7" w14:textId="0CA2DD68" w:rsidR="00907E62" w:rsidRPr="00C55105" w:rsidRDefault="00C55105" w:rsidP="00295CD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55105">
              <w:rPr>
                <w:rFonts w:ascii="Times New Roman" w:hAnsi="Times New Roman"/>
              </w:rPr>
              <w:t xml:space="preserve">Planirano je </w:t>
            </w:r>
            <w:r w:rsidR="00295CDD">
              <w:rPr>
                <w:rFonts w:ascii="Times New Roman" w:hAnsi="Times New Roman"/>
              </w:rPr>
              <w:t>0,00 jer već tri</w:t>
            </w:r>
            <w:r>
              <w:rPr>
                <w:rFonts w:ascii="Times New Roman" w:hAnsi="Times New Roman"/>
              </w:rPr>
              <w:t xml:space="preserve"> nastavne godine financiranje nije u sklopu škole nego ide preko drugih korisnika</w:t>
            </w:r>
            <w:r w:rsidR="009B3AB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iako imamo pomoćnike u </w:t>
            </w:r>
            <w:r w:rsidR="009B3AB2">
              <w:rPr>
                <w:rFonts w:ascii="Times New Roman" w:hAnsi="Times New Roman"/>
              </w:rPr>
              <w:t>nastavi za</w:t>
            </w:r>
            <w:r>
              <w:rPr>
                <w:rFonts w:ascii="Times New Roman" w:hAnsi="Times New Roman"/>
              </w:rPr>
              <w:t xml:space="preserve"> učenike s teškoćama.</w:t>
            </w:r>
          </w:p>
        </w:tc>
      </w:tr>
      <w:tr w:rsidR="00907E62" w:rsidRPr="00EC7944" w14:paraId="6BFC1751" w14:textId="77777777" w:rsidTr="00602A8B">
        <w:tc>
          <w:tcPr>
            <w:tcW w:w="1838" w:type="dxa"/>
            <w:vAlign w:val="center"/>
          </w:tcPr>
          <w:p w14:paraId="0C9ED39C" w14:textId="404093B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4428CAE2" w14:textId="6ED03C11" w:rsidR="00907E62" w:rsidRPr="006E0622" w:rsidRDefault="006E062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E0622">
              <w:rPr>
                <w:rFonts w:ascii="Times New Roman" w:hAnsi="Times New Roman"/>
              </w:rPr>
              <w:t>0,00</w:t>
            </w:r>
          </w:p>
        </w:tc>
      </w:tr>
      <w:tr w:rsidR="00907E62" w:rsidRPr="00EC7944" w14:paraId="2094EE15" w14:textId="77777777" w:rsidTr="00602A8B">
        <w:tc>
          <w:tcPr>
            <w:tcW w:w="1838" w:type="dxa"/>
            <w:vAlign w:val="center"/>
          </w:tcPr>
          <w:p w14:paraId="411768C0" w14:textId="4546B02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3A1A5E00" w14:textId="459D5DB3" w:rsidR="00907E62" w:rsidRPr="006E0622" w:rsidRDefault="006E062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E0622">
              <w:rPr>
                <w:rFonts w:ascii="Times New Roman" w:hAnsi="Times New Roman"/>
              </w:rPr>
              <w:t>0,00</w:t>
            </w:r>
          </w:p>
        </w:tc>
      </w:tr>
      <w:tr w:rsidR="00907E62" w:rsidRPr="00EC7944" w14:paraId="4584F2BE" w14:textId="77777777" w:rsidTr="00602A8B">
        <w:tc>
          <w:tcPr>
            <w:tcW w:w="1838" w:type="dxa"/>
            <w:vAlign w:val="center"/>
          </w:tcPr>
          <w:p w14:paraId="0C7E6B6E" w14:textId="3FBF194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68EC1F98" w14:textId="412069E1" w:rsidR="00907E62" w:rsidRPr="006E0622" w:rsidRDefault="006E062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E0622">
              <w:rPr>
                <w:rFonts w:ascii="Times New Roman" w:hAnsi="Times New Roman"/>
              </w:rPr>
              <w:t>0,00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vAlign w:val="center"/>
          </w:tcPr>
          <w:p w14:paraId="5E196C44" w14:textId="79E3A8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</w:tcPr>
          <w:p w14:paraId="105B548F" w14:textId="776F947E" w:rsidR="00907E62" w:rsidRPr="00EC7944" w:rsidRDefault="002F4CF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Svake godine se odlučujemo poduprijeti ovaj projekt zbog učenika te smo u sljedećoj godini također planirali određene iznose za redovno konzumiranje voća u našoj školi.</w:t>
            </w: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</w:tcPr>
          <w:p w14:paraId="76B7E890" w14:textId="7772B58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0861CA3C" w14:textId="544D4F2D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2.288</w:t>
            </w:r>
            <w:r w:rsidR="002F4CFD">
              <w:rPr>
                <w:rFonts w:ascii="Times New Roman" w:hAnsi="Times New Roman"/>
                <w:b/>
              </w:rPr>
              <w:t>,00.</w:t>
            </w:r>
          </w:p>
        </w:tc>
      </w:tr>
      <w:tr w:rsidR="00907E62" w:rsidRPr="00EC7944" w14:paraId="3C717CA2" w14:textId="77777777" w:rsidTr="00602A8B">
        <w:trPr>
          <w:trHeight w:val="316"/>
        </w:trPr>
        <w:tc>
          <w:tcPr>
            <w:tcW w:w="1838" w:type="dxa"/>
          </w:tcPr>
          <w:p w14:paraId="29DA1711" w14:textId="7380112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2EB3A298" w14:textId="4D054BAE" w:rsidR="00907E62" w:rsidRPr="00EC7944" w:rsidRDefault="00451C0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</w:tcPr>
          <w:p w14:paraId="68C71D67" w14:textId="55F0AF6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39BFEE5B" w14:textId="5F3540BB" w:rsidR="00907E62" w:rsidRPr="00EC7944" w:rsidRDefault="00451C0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7E0E79B0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07E62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205DB9A6" w:rsidR="00907E62" w:rsidRPr="00F11F23" w:rsidRDefault="00F11F23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Što se tiče decentraliziranih s</w:t>
            </w:r>
            <w:r w:rsidR="00484A14">
              <w:rPr>
                <w:rFonts w:ascii="Times New Roman" w:hAnsi="Times New Roman"/>
              </w:rPr>
              <w:t>redstava planirani iznos za 2026</w:t>
            </w:r>
            <w:r>
              <w:rPr>
                <w:rFonts w:ascii="Times New Roman" w:hAnsi="Times New Roman"/>
              </w:rPr>
              <w:t xml:space="preserve">.godinu raspoređen je za pokriće tekućih troškova </w:t>
            </w:r>
            <w:r w:rsidR="00A925CC">
              <w:rPr>
                <w:rFonts w:ascii="Times New Roman" w:hAnsi="Times New Roman"/>
              </w:rPr>
              <w:t>poslovanja škole u iznosu od 113.00</w:t>
            </w:r>
            <w:r>
              <w:rPr>
                <w:rFonts w:ascii="Times New Roman" w:hAnsi="Times New Roman"/>
              </w:rPr>
              <w:t>0,00EUR te se nadamo</w:t>
            </w:r>
            <w:r w:rsidR="00484A14">
              <w:rPr>
                <w:rFonts w:ascii="Times New Roman" w:hAnsi="Times New Roman"/>
              </w:rPr>
              <w:t xml:space="preserve"> da će nam odobreni iznos u 2026</w:t>
            </w:r>
            <w:r>
              <w:rPr>
                <w:rFonts w:ascii="Times New Roman" w:hAnsi="Times New Roman"/>
              </w:rPr>
              <w:t>. godini biti veći od planiranog kako bi mogli normalno održavati poslovanje škole. Vezano za plaće zaposlenika planirano je više nego prošle godine zbog novo</w:t>
            </w:r>
            <w:r w:rsidR="00A925CC">
              <w:rPr>
                <w:rFonts w:ascii="Times New Roman" w:hAnsi="Times New Roman"/>
              </w:rPr>
              <w:t>g temeljnog kolektivnog ugovora i ostalih potreba za redovno poslovanje.</w:t>
            </w:r>
          </w:p>
        </w:tc>
      </w:tr>
      <w:tr w:rsidR="00907E62" w:rsidRPr="00EC7944" w14:paraId="5A7A2B12" w14:textId="77777777" w:rsidTr="00602A8B">
        <w:tc>
          <w:tcPr>
            <w:tcW w:w="1696" w:type="dxa"/>
            <w:vAlign w:val="center"/>
          </w:tcPr>
          <w:p w14:paraId="2B86DC49" w14:textId="63D4849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FBDABF1" w14:textId="303B5665" w:rsidR="00907E62" w:rsidRPr="00EC7944" w:rsidRDefault="00A925C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2.006.600,00</w:t>
            </w:r>
          </w:p>
        </w:tc>
      </w:tr>
      <w:tr w:rsidR="00907E62" w:rsidRPr="00EC7944" w14:paraId="1D06AD69" w14:textId="77777777" w:rsidTr="00602A8B">
        <w:tc>
          <w:tcPr>
            <w:tcW w:w="1696" w:type="dxa"/>
            <w:vAlign w:val="center"/>
          </w:tcPr>
          <w:p w14:paraId="1BD32862" w14:textId="199FDB8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EC0FF16" w14:textId="718C134D" w:rsidR="00907E62" w:rsidRPr="00EC7944" w:rsidRDefault="00A925C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2.006.600,00</w:t>
            </w:r>
          </w:p>
        </w:tc>
      </w:tr>
      <w:tr w:rsidR="00907E62" w:rsidRPr="00EC7944" w14:paraId="00A9E58D" w14:textId="77777777" w:rsidTr="00602A8B">
        <w:tc>
          <w:tcPr>
            <w:tcW w:w="1696" w:type="dxa"/>
            <w:vAlign w:val="center"/>
          </w:tcPr>
          <w:p w14:paraId="24375463" w14:textId="3A282F7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9AD1920" w14:textId="545C2A07" w:rsidR="00907E62" w:rsidRPr="00EC7944" w:rsidRDefault="00A925C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2.006.600,00</w:t>
            </w:r>
          </w:p>
        </w:tc>
      </w:tr>
      <w:tr w:rsidR="00907E62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180A7C9E" w:rsidR="0052600E" w:rsidRPr="00EC7944" w:rsidRDefault="0052600E" w:rsidP="00CA5178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</w:t>
            </w:r>
            <w:r w:rsidR="00CA5178">
              <w:rPr>
                <w:rFonts w:ascii="Times New Roman" w:hAnsi="Times New Roman"/>
                <w:lang w:eastAsia="hr-HR"/>
              </w:rPr>
              <w:t>ravaka, sanacija i ostalo.</w:t>
            </w:r>
          </w:p>
        </w:tc>
      </w:tr>
      <w:tr w:rsidR="00907E62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34463012" w:rsidR="00907E62" w:rsidRPr="001B2365" w:rsidRDefault="00CA5178" w:rsidP="00772363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Planirani iznos je 18.5</w:t>
            </w:r>
            <w:r w:rsidR="001B2365">
              <w:rPr>
                <w:rFonts w:ascii="Times New Roman" w:hAnsi="Times New Roman"/>
              </w:rPr>
              <w:t>00,00</w:t>
            </w:r>
            <w:r w:rsidR="00337588">
              <w:rPr>
                <w:rFonts w:ascii="Times New Roman" w:hAnsi="Times New Roman"/>
              </w:rPr>
              <w:t xml:space="preserve"> </w:t>
            </w:r>
            <w:r w:rsidR="001B2365">
              <w:rPr>
                <w:rFonts w:ascii="Times New Roman" w:hAnsi="Times New Roman"/>
              </w:rPr>
              <w:t xml:space="preserve"> </w:t>
            </w:r>
            <w:r w:rsidR="00772363">
              <w:rPr>
                <w:rFonts w:ascii="Times New Roman" w:hAnsi="Times New Roman"/>
              </w:rPr>
              <w:t>koji će biti namijenjen za popravke u školi.</w:t>
            </w:r>
          </w:p>
        </w:tc>
      </w:tr>
      <w:tr w:rsidR="00907E62" w:rsidRPr="00EC7944" w14:paraId="1A668C37" w14:textId="77777777" w:rsidTr="00602A8B">
        <w:tc>
          <w:tcPr>
            <w:tcW w:w="1696" w:type="dxa"/>
            <w:vAlign w:val="center"/>
          </w:tcPr>
          <w:p w14:paraId="73CBDAFD" w14:textId="1584329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E9D0F72" w14:textId="428010B7" w:rsidR="00907E62" w:rsidRPr="00EC7944" w:rsidRDefault="00CA517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</w:t>
            </w:r>
            <w:r w:rsidR="001B2365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03B8CA77" w14:textId="77777777" w:rsidTr="00602A8B">
        <w:tc>
          <w:tcPr>
            <w:tcW w:w="1696" w:type="dxa"/>
            <w:vAlign w:val="center"/>
          </w:tcPr>
          <w:p w14:paraId="6B1DE0EF" w14:textId="1D8A8D1A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44B318C" w14:textId="71DA34B2" w:rsidR="00907E62" w:rsidRPr="00EC7944" w:rsidRDefault="00CA517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</w:t>
            </w:r>
            <w:r w:rsidR="001B2365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4216144B" w14:textId="77777777" w:rsidTr="00602A8B">
        <w:tc>
          <w:tcPr>
            <w:tcW w:w="1696" w:type="dxa"/>
            <w:vAlign w:val="center"/>
          </w:tcPr>
          <w:p w14:paraId="633BDB6B" w14:textId="15A35CA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A5D8DD0" w14:textId="5A58A05C" w:rsidR="00C411A6" w:rsidRPr="00EC7944" w:rsidRDefault="00CA517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</w:t>
            </w:r>
            <w:r w:rsidR="001B2365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B85C89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00D6114C" w:rsidR="00C411A6" w:rsidRPr="001B2365" w:rsidRDefault="001B2365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1B2365">
              <w:rPr>
                <w:rFonts w:ascii="Times New Roman" w:hAnsi="Times New Roman"/>
              </w:rPr>
              <w:t>Planirani iznos</w:t>
            </w:r>
            <w:r w:rsidR="00CA5178">
              <w:rPr>
                <w:rFonts w:ascii="Times New Roman" w:hAnsi="Times New Roman"/>
              </w:rPr>
              <w:t xml:space="preserve"> je 19</w:t>
            </w:r>
            <w:r>
              <w:rPr>
                <w:rFonts w:ascii="Times New Roman" w:hAnsi="Times New Roman"/>
              </w:rPr>
              <w:t>.500,00EUR te ga planiramo utrošiti na kupnju opreme koja je po</w:t>
            </w:r>
            <w:r w:rsidR="00CA5178">
              <w:rPr>
                <w:rFonts w:ascii="Times New Roman" w:hAnsi="Times New Roman"/>
              </w:rPr>
              <w:t xml:space="preserve">trebna u školi( klima,vrata, prozori, </w:t>
            </w:r>
            <w:r>
              <w:rPr>
                <w:rFonts w:ascii="Times New Roman" w:hAnsi="Times New Roman"/>
              </w:rPr>
              <w:t xml:space="preserve"> klupe i ostalo).</w:t>
            </w:r>
          </w:p>
        </w:tc>
      </w:tr>
      <w:tr w:rsidR="00C411A6" w:rsidRPr="00EC7944" w14:paraId="5DA369F4" w14:textId="77777777" w:rsidTr="00602A8B">
        <w:tc>
          <w:tcPr>
            <w:tcW w:w="1696" w:type="dxa"/>
            <w:vAlign w:val="center"/>
          </w:tcPr>
          <w:p w14:paraId="0D1B7614" w14:textId="68EF26EC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718D87E6" w14:textId="1F4AFC28" w:rsidR="00C411A6" w:rsidRPr="00EC7944" w:rsidRDefault="00CA5178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1B2365">
              <w:rPr>
                <w:rFonts w:ascii="Times New Roman" w:hAnsi="Times New Roman"/>
                <w:b/>
              </w:rPr>
              <w:t>.500,00</w:t>
            </w:r>
          </w:p>
        </w:tc>
      </w:tr>
      <w:tr w:rsidR="00C411A6" w:rsidRPr="00EC7944" w14:paraId="02C0A647" w14:textId="77777777" w:rsidTr="00602A8B">
        <w:tc>
          <w:tcPr>
            <w:tcW w:w="1696" w:type="dxa"/>
            <w:vAlign w:val="center"/>
          </w:tcPr>
          <w:p w14:paraId="6124A8F4" w14:textId="74949CAE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56728762" w14:textId="430AC337" w:rsidR="00C411A6" w:rsidRPr="00EC7944" w:rsidRDefault="00CA5178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1B2365">
              <w:rPr>
                <w:rFonts w:ascii="Times New Roman" w:hAnsi="Times New Roman"/>
                <w:b/>
              </w:rPr>
              <w:t>.500,00</w:t>
            </w:r>
          </w:p>
        </w:tc>
      </w:tr>
      <w:tr w:rsidR="00C411A6" w:rsidRPr="00EC7944" w14:paraId="0DFE1112" w14:textId="77777777" w:rsidTr="00602A8B">
        <w:tc>
          <w:tcPr>
            <w:tcW w:w="1696" w:type="dxa"/>
            <w:vAlign w:val="center"/>
          </w:tcPr>
          <w:p w14:paraId="33B7A5F2" w14:textId="64DC26A4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2765F894" w14:textId="47287489" w:rsidR="00C411A6" w:rsidRPr="00EC7944" w:rsidRDefault="00CA5178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1B2365">
              <w:rPr>
                <w:rFonts w:ascii="Times New Roman" w:hAnsi="Times New Roman"/>
                <w:b/>
              </w:rPr>
              <w:t>.500,00</w:t>
            </w:r>
          </w:p>
        </w:tc>
      </w:tr>
    </w:tbl>
    <w:p w14:paraId="66E1A811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541D1B8" w:rsidR="003137CA" w:rsidRPr="003137CA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64E71F6C" w:rsidR="00907E62" w:rsidRPr="003137CA" w:rsidRDefault="003137CA" w:rsidP="00484A14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Planirano je </w:t>
            </w:r>
            <w:r w:rsidR="00484A14">
              <w:rPr>
                <w:rFonts w:ascii="Times New Roman" w:hAnsi="Times New Roman"/>
              </w:rPr>
              <w:t>3.000,</w:t>
            </w:r>
            <w:r>
              <w:rPr>
                <w:rFonts w:ascii="Times New Roman" w:hAnsi="Times New Roman"/>
              </w:rPr>
              <w:t>00EUR u dogovoru s obzirom na sredstva koja su nam bila potrebna prethodnih godina kako bi omogućili</w:t>
            </w:r>
            <w:r w:rsidR="00484A14">
              <w:rPr>
                <w:rFonts w:ascii="Times New Roman" w:hAnsi="Times New Roman"/>
              </w:rPr>
              <w:t xml:space="preserve"> normalno djelovanje aktivnosti s obzirom na broj učenika.</w:t>
            </w:r>
          </w:p>
        </w:tc>
      </w:tr>
      <w:tr w:rsidR="00907E62" w:rsidRPr="00EC7944" w14:paraId="3D7AE4FF" w14:textId="77777777" w:rsidTr="00602A8B">
        <w:tc>
          <w:tcPr>
            <w:tcW w:w="1696" w:type="dxa"/>
            <w:vAlign w:val="center"/>
          </w:tcPr>
          <w:p w14:paraId="4CF322FA" w14:textId="7B3E9BC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691ABDC" w14:textId="6142CCA6" w:rsidR="00907E62" w:rsidRPr="00EC7944" w:rsidRDefault="00484A14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</w:t>
            </w:r>
            <w:r w:rsidR="003137CA">
              <w:rPr>
                <w:rFonts w:ascii="Times New Roman" w:hAnsi="Times New Roman"/>
                <w:b/>
              </w:rPr>
              <w:t>00,00.</w:t>
            </w:r>
          </w:p>
        </w:tc>
      </w:tr>
      <w:tr w:rsidR="00907E62" w:rsidRPr="00EC7944" w14:paraId="24981794" w14:textId="77777777" w:rsidTr="00602A8B">
        <w:tc>
          <w:tcPr>
            <w:tcW w:w="1696" w:type="dxa"/>
            <w:vAlign w:val="center"/>
          </w:tcPr>
          <w:p w14:paraId="2EAFEED1" w14:textId="4E04A87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E699C26" w14:textId="054D5805" w:rsidR="00907E62" w:rsidRPr="00EC7944" w:rsidRDefault="00484A14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</w:t>
            </w:r>
            <w:r w:rsidR="003137CA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0E08231E" w14:textId="77777777" w:rsidTr="00602A8B">
        <w:tc>
          <w:tcPr>
            <w:tcW w:w="1696" w:type="dxa"/>
            <w:vAlign w:val="center"/>
          </w:tcPr>
          <w:p w14:paraId="79CD3DF6" w14:textId="00BBAB0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1CF0538" w14:textId="40CAC0E2" w:rsidR="00907E62" w:rsidRPr="00EC7944" w:rsidRDefault="00484A14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</w:t>
            </w:r>
            <w:r w:rsidR="003137CA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12C0CA1" w14:textId="4235F5FE" w:rsidR="00907E62" w:rsidRPr="00EC7944" w:rsidRDefault="00484A14" w:rsidP="00A4439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Planirano je 87.600</w:t>
            </w:r>
            <w:r w:rsidR="00A44396">
              <w:rPr>
                <w:rFonts w:ascii="Times New Roman" w:hAnsi="Times New Roman"/>
              </w:rPr>
              <w:t xml:space="preserve">,00EUR  u dogovoru s obzirom na sredstva koja su nam bila potrebna prethodnih godina kako bi omogućili normalno djelovanje aktivnosti. Što se tiče ostalih sredstava koja su planirana  po o ovoj aktivnosti planirani su </w:t>
            </w:r>
            <w:r w:rsidR="00A44396">
              <w:rPr>
                <w:rFonts w:ascii="Times New Roman" w:hAnsi="Times New Roman"/>
              </w:rPr>
              <w:lastRenderedPageBreak/>
              <w:t>na temelju EU projekata koji su u procesu odobrenja te EU projekti koji su završeni</w:t>
            </w:r>
            <w:r>
              <w:rPr>
                <w:rFonts w:ascii="Times New Roman" w:hAnsi="Times New Roman"/>
              </w:rPr>
              <w:t xml:space="preserve"> odnosno koji će završiti u 2026</w:t>
            </w:r>
            <w:r w:rsidR="00A44396">
              <w:rPr>
                <w:rFonts w:ascii="Times New Roman" w:hAnsi="Times New Roman"/>
              </w:rPr>
              <w:t>.godini, a sredstva koja su nam ostala ćemo u sljedećim godinama utrošiti na usavršavanje zaposlenika i učenika.</w:t>
            </w:r>
          </w:p>
        </w:tc>
      </w:tr>
      <w:tr w:rsidR="00907E62" w:rsidRPr="00EC7944" w14:paraId="14B91D16" w14:textId="77777777" w:rsidTr="00602A8B">
        <w:tc>
          <w:tcPr>
            <w:tcW w:w="1696" w:type="dxa"/>
            <w:vAlign w:val="center"/>
          </w:tcPr>
          <w:p w14:paraId="1A129ACF" w14:textId="783E996A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C9BF34" w14:textId="7ADE10DE" w:rsidR="00907E62" w:rsidRPr="00EC7944" w:rsidRDefault="00484A14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87.600,00</w:t>
            </w:r>
          </w:p>
        </w:tc>
      </w:tr>
      <w:tr w:rsidR="00907E62" w:rsidRPr="00EC7944" w14:paraId="1AEAC40B" w14:textId="77777777" w:rsidTr="00602A8B">
        <w:tc>
          <w:tcPr>
            <w:tcW w:w="1696" w:type="dxa"/>
            <w:vAlign w:val="center"/>
          </w:tcPr>
          <w:p w14:paraId="1C9D9DC0" w14:textId="02BDF05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5B99089" w14:textId="343A20D7" w:rsidR="00907E62" w:rsidRPr="00EC7944" w:rsidRDefault="00484A14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87.600,00</w:t>
            </w:r>
          </w:p>
        </w:tc>
      </w:tr>
      <w:tr w:rsidR="00907E62" w:rsidRPr="00EC7944" w14:paraId="166DA588" w14:textId="77777777" w:rsidTr="00602A8B">
        <w:tc>
          <w:tcPr>
            <w:tcW w:w="1696" w:type="dxa"/>
            <w:vAlign w:val="center"/>
          </w:tcPr>
          <w:p w14:paraId="3B6F9F88" w14:textId="4BD6BDD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447ED76" w14:textId="350AAC40" w:rsidR="00907E62" w:rsidRPr="00EC7944" w:rsidRDefault="00484A14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87.600,00</w:t>
            </w:r>
          </w:p>
        </w:tc>
      </w:tr>
      <w:tr w:rsidR="00907E6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E00E9CC" w14:textId="085ECA3E" w:rsidR="00907E62" w:rsidRPr="00A44396" w:rsidRDefault="00A44396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Planirani je određeni iznos donacija za podmirenje ostalih nespomenutih rashoda po</w:t>
            </w:r>
            <w:r w:rsidR="009B3282">
              <w:rPr>
                <w:rFonts w:ascii="Times New Roman" w:hAnsi="Times New Roman"/>
              </w:rPr>
              <w:t>slovanja s obzirom da smo u 2025</w:t>
            </w:r>
            <w:r>
              <w:rPr>
                <w:rFonts w:ascii="Times New Roman" w:hAnsi="Times New Roman"/>
              </w:rPr>
              <w:t xml:space="preserve">. </w:t>
            </w:r>
            <w:r w:rsidR="005D425C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odini imali dosta donacija vezano za aktivnosti škole. Također smo planirali određeni iznos za knjige kako bi učenicima kojima je potrebno omogućili besplatne udžbenike.</w:t>
            </w:r>
          </w:p>
        </w:tc>
      </w:tr>
      <w:tr w:rsidR="00907E62" w:rsidRPr="00EC7944" w14:paraId="65FA7E4C" w14:textId="77777777" w:rsidTr="00602A8B">
        <w:tc>
          <w:tcPr>
            <w:tcW w:w="1696" w:type="dxa"/>
            <w:vAlign w:val="center"/>
          </w:tcPr>
          <w:p w14:paraId="5174BF55" w14:textId="6F991D2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6DCF6F3" w14:textId="367E7931" w:rsidR="00907E62" w:rsidRPr="00EC7944" w:rsidRDefault="009B328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</w:t>
            </w:r>
            <w:r w:rsidR="00A44396"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00F61545" w14:textId="77777777" w:rsidTr="00602A8B">
        <w:tc>
          <w:tcPr>
            <w:tcW w:w="1696" w:type="dxa"/>
            <w:vAlign w:val="center"/>
          </w:tcPr>
          <w:p w14:paraId="55CC2863" w14:textId="6074A5A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43644B2" w14:textId="382E5624" w:rsidR="00907E62" w:rsidRPr="00EC7944" w:rsidRDefault="009B328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</w:t>
            </w:r>
            <w:r w:rsidR="00A44396"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15DC7EE3" w14:textId="77777777" w:rsidTr="00602A8B">
        <w:tc>
          <w:tcPr>
            <w:tcW w:w="1696" w:type="dxa"/>
            <w:vAlign w:val="center"/>
          </w:tcPr>
          <w:p w14:paraId="7B9A98CF" w14:textId="64679C9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4E5257F" w14:textId="34183C3A" w:rsidR="00907E62" w:rsidRPr="00EC7944" w:rsidRDefault="009B328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</w:t>
            </w:r>
            <w:r w:rsidR="00A44396"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17D42A2A" w:rsidR="00907E62" w:rsidRPr="00724580" w:rsidRDefault="0072458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724580">
              <w:rPr>
                <w:rFonts w:ascii="Times New Roman" w:hAnsi="Times New Roman"/>
              </w:rPr>
              <w:t>Ostale aktivnosti se temelje na prihodima za posebne namjene koje ostvarimo u tekućoj godini te koristimo za određene troškove za poslovanje škole. Planirani iznos je planiran na temelju prethodnih godina.</w:t>
            </w:r>
          </w:p>
        </w:tc>
      </w:tr>
      <w:tr w:rsidR="00907E62" w:rsidRPr="00EC7944" w14:paraId="5CF5EBDF" w14:textId="77777777" w:rsidTr="00602A8B">
        <w:tc>
          <w:tcPr>
            <w:tcW w:w="1696" w:type="dxa"/>
            <w:vAlign w:val="center"/>
          </w:tcPr>
          <w:p w14:paraId="53218ACA" w14:textId="557D2C4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8D63682" w14:textId="25483770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234EB">
              <w:rPr>
                <w:rFonts w:ascii="Times New Roman" w:hAnsi="Times New Roman"/>
                <w:b/>
              </w:rPr>
              <w:t>.000,00</w:t>
            </w:r>
          </w:p>
        </w:tc>
      </w:tr>
      <w:tr w:rsidR="00907E62" w:rsidRPr="00EC7944" w14:paraId="33452F78" w14:textId="77777777" w:rsidTr="00602A8B">
        <w:tc>
          <w:tcPr>
            <w:tcW w:w="1696" w:type="dxa"/>
            <w:vAlign w:val="center"/>
          </w:tcPr>
          <w:p w14:paraId="6166B143" w14:textId="745FBC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BAB3CB8" w14:textId="7A30B65C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234EB">
              <w:rPr>
                <w:rFonts w:ascii="Times New Roman" w:hAnsi="Times New Roman"/>
                <w:b/>
              </w:rPr>
              <w:t>.000,00</w:t>
            </w:r>
          </w:p>
        </w:tc>
      </w:tr>
      <w:tr w:rsidR="00907E62" w:rsidRPr="00EC7944" w14:paraId="41628614" w14:textId="77777777" w:rsidTr="00602A8B">
        <w:tc>
          <w:tcPr>
            <w:tcW w:w="1696" w:type="dxa"/>
            <w:vAlign w:val="center"/>
          </w:tcPr>
          <w:p w14:paraId="003AD328" w14:textId="582AC4F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C360B9" w14:textId="1B98363A" w:rsidR="00907E62" w:rsidRPr="00EC7944" w:rsidRDefault="0033758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234EB">
              <w:rPr>
                <w:rFonts w:ascii="Times New Roman" w:hAnsi="Times New Roman"/>
                <w:b/>
              </w:rPr>
              <w:t>.000,00</w:t>
            </w:r>
          </w:p>
        </w:tc>
      </w:tr>
      <w:tr w:rsidR="00907E62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275FD907" w:rsidR="00907E62" w:rsidRPr="00724580" w:rsidRDefault="0072458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724580">
              <w:rPr>
                <w:rFonts w:ascii="Times New Roman" w:hAnsi="Times New Roman"/>
              </w:rPr>
              <w:t>Dodatne djelatnosti su naši vlastiti prihodi i vlastiti prihodi prenesena sredstva koje mi ostvarujemo od pružanja usluga iznajmljivanje učionica, izdavanje svjedodžbi te prihodi od rada učeničkog servisa tijeko</w:t>
            </w:r>
            <w:r w:rsidR="009B3282">
              <w:rPr>
                <w:rFonts w:ascii="Times New Roman" w:hAnsi="Times New Roman"/>
              </w:rPr>
              <w:t>m ljeta. Planirani iznos za 2026</w:t>
            </w:r>
            <w:r w:rsidRPr="00724580">
              <w:rPr>
                <w:rFonts w:ascii="Times New Roman" w:hAnsi="Times New Roman"/>
              </w:rPr>
              <w:t>. godinu je planiran na temelju prethodnih godina te se nadamo da će biti ostvareno kako smo planirali.</w:t>
            </w:r>
          </w:p>
        </w:tc>
      </w:tr>
      <w:tr w:rsidR="00907E62" w:rsidRPr="00EC7944" w14:paraId="6821C145" w14:textId="77777777" w:rsidTr="00602A8B">
        <w:tc>
          <w:tcPr>
            <w:tcW w:w="1696" w:type="dxa"/>
            <w:vAlign w:val="center"/>
          </w:tcPr>
          <w:p w14:paraId="4EB6C1AB" w14:textId="2E70C66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309DC7" w14:textId="3B830D91" w:rsidR="00907E62" w:rsidRPr="00EC7944" w:rsidRDefault="003B5D2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21.300</w:t>
            </w:r>
            <w:r w:rsidR="00724580"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2DA91630" w14:textId="77777777" w:rsidTr="00602A8B">
        <w:tc>
          <w:tcPr>
            <w:tcW w:w="1696" w:type="dxa"/>
            <w:vAlign w:val="center"/>
          </w:tcPr>
          <w:p w14:paraId="72005612" w14:textId="449D84F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1F2E0DC" w14:textId="44611F13" w:rsidR="00907E62" w:rsidRPr="00EC7944" w:rsidRDefault="003B5D2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21.30</w:t>
            </w:r>
            <w:r w:rsidR="00724580">
              <w:rPr>
                <w:rFonts w:ascii="Times New Roman" w:hAnsi="Times New Roman"/>
                <w:b/>
              </w:rPr>
              <w:t>0,00</w:t>
            </w:r>
          </w:p>
        </w:tc>
      </w:tr>
      <w:tr w:rsidR="00907E62" w:rsidRPr="00EC7944" w14:paraId="536141CA" w14:textId="77777777" w:rsidTr="00602A8B">
        <w:tc>
          <w:tcPr>
            <w:tcW w:w="1696" w:type="dxa"/>
            <w:vAlign w:val="center"/>
          </w:tcPr>
          <w:p w14:paraId="4AC5071A" w14:textId="757702C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3AE5E38" w14:textId="79C4C5EF" w:rsidR="00907E62" w:rsidRPr="00EC7944" w:rsidRDefault="003B5D2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21.30</w:t>
            </w:r>
            <w:r w:rsidR="00724580"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0327B4E8" w:rsidR="00907E62" w:rsidRDefault="00041CEE" w:rsidP="00041CEE">
      <w:pPr>
        <w:pStyle w:val="Bezproreda"/>
        <w:shd w:val="clear" w:color="auto" w:fill="FFFFF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Ravnateljica: </w:t>
      </w:r>
      <w:proofErr w:type="spellStart"/>
      <w:r>
        <w:rPr>
          <w:rFonts w:ascii="Times New Roman" w:hAnsi="Times New Roman"/>
        </w:rPr>
        <w:t>Anela</w:t>
      </w:r>
      <w:proofErr w:type="spellEnd"/>
      <w:r>
        <w:rPr>
          <w:rFonts w:ascii="Times New Roman" w:hAnsi="Times New Roman"/>
        </w:rPr>
        <w:t xml:space="preserve"> Barbir</w:t>
      </w:r>
    </w:p>
    <w:p w14:paraId="6990664C" w14:textId="77777777" w:rsidR="00041CEE" w:rsidRDefault="00041CEE" w:rsidP="00041CEE">
      <w:pPr>
        <w:pStyle w:val="Bezproreda"/>
        <w:shd w:val="clear" w:color="auto" w:fill="FFFFFF"/>
        <w:jc w:val="right"/>
        <w:rPr>
          <w:rFonts w:ascii="Times New Roman" w:hAnsi="Times New Roman"/>
        </w:rPr>
      </w:pPr>
    </w:p>
    <w:p w14:paraId="63B15A35" w14:textId="00081EB7" w:rsidR="00041CEE" w:rsidRDefault="00041CEE" w:rsidP="00041CEE">
      <w:pPr>
        <w:pStyle w:val="Bezproreda"/>
        <w:shd w:val="clear" w:color="auto" w:fill="FFFFF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p w14:paraId="528F0774" w14:textId="77777777" w:rsidR="00041CEE" w:rsidRDefault="00041CEE" w:rsidP="00041CEE">
      <w:pPr>
        <w:pStyle w:val="Bezproreda"/>
        <w:shd w:val="clear" w:color="auto" w:fill="FFFFFF"/>
        <w:jc w:val="right"/>
        <w:rPr>
          <w:rFonts w:ascii="Times New Roman" w:hAnsi="Times New Roman"/>
        </w:rPr>
      </w:pPr>
    </w:p>
    <w:p w14:paraId="4FEF58F0" w14:textId="77777777" w:rsidR="00041CEE" w:rsidRDefault="00041CEE" w:rsidP="00041CEE">
      <w:pPr>
        <w:jc w:val="right"/>
      </w:pPr>
      <w:bookmarkStart w:id="0" w:name="_GoBack"/>
      <w:bookmarkEnd w:id="0"/>
    </w:p>
    <w:p w14:paraId="2C33CB93" w14:textId="77777777" w:rsidR="00041CEE" w:rsidRDefault="00041CEE" w:rsidP="00041CEE">
      <w:pPr>
        <w:jc w:val="right"/>
      </w:pPr>
    </w:p>
    <w:p w14:paraId="7EEE8D9B" w14:textId="77777777" w:rsidR="0017718F" w:rsidRDefault="00041CEE" w:rsidP="00041CEE">
      <w:pPr>
        <w:jc w:val="right"/>
      </w:pPr>
      <w:r>
        <w:t xml:space="preserve">Voditeljica računovodstva: Dora </w:t>
      </w:r>
      <w:proofErr w:type="spellStart"/>
      <w:r>
        <w:t>Mijoč</w:t>
      </w:r>
      <w:proofErr w:type="spellEnd"/>
    </w:p>
    <w:p w14:paraId="3984023D" w14:textId="77777777" w:rsidR="00041CEE" w:rsidRDefault="00041CEE" w:rsidP="00041CEE">
      <w:pPr>
        <w:jc w:val="right"/>
      </w:pPr>
    </w:p>
    <w:p w14:paraId="3C3376F6" w14:textId="3BA8B997" w:rsidR="00041CEE" w:rsidRDefault="00041CEE" w:rsidP="00041CEE">
      <w:pPr>
        <w:jc w:val="right"/>
      </w:pPr>
    </w:p>
    <w:p w14:paraId="52E4B16B" w14:textId="1CFF2D87" w:rsidR="00041CEE" w:rsidRDefault="00041CEE" w:rsidP="00041CEE">
      <w:pPr>
        <w:jc w:val="right"/>
      </w:pPr>
      <w:r>
        <w:t>_____________________</w:t>
      </w:r>
    </w:p>
    <w:sectPr w:rsidR="00041CEE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62"/>
    <w:rsid w:val="0002727D"/>
    <w:rsid w:val="00041CEE"/>
    <w:rsid w:val="00091F2D"/>
    <w:rsid w:val="001079AA"/>
    <w:rsid w:val="0017718F"/>
    <w:rsid w:val="001B2365"/>
    <w:rsid w:val="00253B17"/>
    <w:rsid w:val="00295CDD"/>
    <w:rsid w:val="002E262C"/>
    <w:rsid w:val="002F4CFD"/>
    <w:rsid w:val="003137CA"/>
    <w:rsid w:val="00314A44"/>
    <w:rsid w:val="00337588"/>
    <w:rsid w:val="003931E9"/>
    <w:rsid w:val="003B5D2E"/>
    <w:rsid w:val="00451C03"/>
    <w:rsid w:val="00484A14"/>
    <w:rsid w:val="0052600E"/>
    <w:rsid w:val="00551560"/>
    <w:rsid w:val="005D425C"/>
    <w:rsid w:val="005D7561"/>
    <w:rsid w:val="005D7986"/>
    <w:rsid w:val="0061134D"/>
    <w:rsid w:val="00674A12"/>
    <w:rsid w:val="006E0622"/>
    <w:rsid w:val="00724580"/>
    <w:rsid w:val="00772363"/>
    <w:rsid w:val="0079229B"/>
    <w:rsid w:val="007F4976"/>
    <w:rsid w:val="00813DB2"/>
    <w:rsid w:val="00907E62"/>
    <w:rsid w:val="009B3282"/>
    <w:rsid w:val="009B3AB2"/>
    <w:rsid w:val="009C3F18"/>
    <w:rsid w:val="00A0785D"/>
    <w:rsid w:val="00A234EB"/>
    <w:rsid w:val="00A4112D"/>
    <w:rsid w:val="00A44396"/>
    <w:rsid w:val="00A735AF"/>
    <w:rsid w:val="00A925CC"/>
    <w:rsid w:val="00B85C89"/>
    <w:rsid w:val="00C409BD"/>
    <w:rsid w:val="00C411A6"/>
    <w:rsid w:val="00C55105"/>
    <w:rsid w:val="00CA5178"/>
    <w:rsid w:val="00CB40C2"/>
    <w:rsid w:val="00E004BC"/>
    <w:rsid w:val="00F11F23"/>
    <w:rsid w:val="00F8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5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Meri</cp:lastModifiedBy>
  <cp:revision>52</cp:revision>
  <cp:lastPrinted>2025-11-06T12:23:00Z</cp:lastPrinted>
  <dcterms:created xsi:type="dcterms:W3CDTF">2024-10-22T10:40:00Z</dcterms:created>
  <dcterms:modified xsi:type="dcterms:W3CDTF">2025-11-06T12:24:00Z</dcterms:modified>
</cp:coreProperties>
</file>