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181262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  <w:r w:rsidR="004208E6">
        <w:rPr>
          <w:sz w:val="22"/>
          <w:szCs w:val="22"/>
        </w:rPr>
        <w:t xml:space="preserve"> </w:t>
      </w:r>
    </w:p>
    <w:p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963B0A">
      <w:pPr>
        <w:rPr>
          <w:bCs/>
          <w:sz w:val="22"/>
          <w:szCs w:val="22"/>
        </w:rPr>
      </w:pPr>
    </w:p>
    <w:p w:rsidR="005565CE" w:rsidRDefault="00030FD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 w:rsidR="00371A11">
        <w:rPr>
          <w:b/>
          <w:sz w:val="22"/>
          <w:szCs w:val="22"/>
        </w:rPr>
        <w:t>fizike</w:t>
      </w:r>
      <w:proofErr w:type="spellEnd"/>
      <w:r w:rsidR="00C050AC" w:rsidRPr="009F6DBF">
        <w:rPr>
          <w:sz w:val="22"/>
          <w:szCs w:val="22"/>
        </w:rPr>
        <w:t xml:space="preserve"> –</w:t>
      </w:r>
      <w:r w:rsidR="00C050AC">
        <w:rPr>
          <w:sz w:val="22"/>
          <w:szCs w:val="22"/>
        </w:rPr>
        <w:t xml:space="preserve"> </w:t>
      </w:r>
      <w:r w:rsidR="00371A11">
        <w:rPr>
          <w:sz w:val="22"/>
          <w:szCs w:val="22"/>
        </w:rPr>
        <w:t>12</w:t>
      </w:r>
      <w:r w:rsidR="00C050AC">
        <w:rPr>
          <w:sz w:val="22"/>
          <w:szCs w:val="22"/>
        </w:rPr>
        <w:t xml:space="preserve"> sati </w:t>
      </w:r>
      <w:proofErr w:type="spellStart"/>
      <w:r w:rsidR="00C050AC">
        <w:rPr>
          <w:sz w:val="22"/>
          <w:szCs w:val="22"/>
        </w:rPr>
        <w:t>nastave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tjedno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proofErr w:type="gramStart"/>
      <w:r w:rsidR="00C050AC">
        <w:rPr>
          <w:sz w:val="22"/>
          <w:szCs w:val="22"/>
        </w:rPr>
        <w:t>na</w:t>
      </w:r>
      <w:proofErr w:type="spellEnd"/>
      <w:proofErr w:type="gramEnd"/>
      <w:r w:rsidR="00C050AC">
        <w:rPr>
          <w:sz w:val="22"/>
          <w:szCs w:val="22"/>
        </w:rPr>
        <w:t xml:space="preserve"> </w:t>
      </w:r>
      <w:proofErr w:type="spellStart"/>
      <w:r w:rsidR="00371A11">
        <w:rPr>
          <w:sz w:val="22"/>
          <w:szCs w:val="22"/>
        </w:rPr>
        <w:t>određeno</w:t>
      </w:r>
      <w:proofErr w:type="spellEnd"/>
      <w:r w:rsidR="00371A11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ne</w:t>
      </w:r>
      <w:r w:rsidR="00C050AC" w:rsidRPr="009F6DBF">
        <w:rPr>
          <w:sz w:val="22"/>
          <w:szCs w:val="22"/>
        </w:rPr>
        <w:t>puno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radno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vrijeme</w:t>
      </w:r>
      <w:proofErr w:type="spellEnd"/>
      <w:r w:rsidR="00371A11">
        <w:rPr>
          <w:sz w:val="22"/>
          <w:szCs w:val="22"/>
        </w:rPr>
        <w:t xml:space="preserve"> </w:t>
      </w:r>
      <w:r w:rsidR="003738B8">
        <w:rPr>
          <w:sz w:val="22"/>
          <w:szCs w:val="22"/>
        </w:rPr>
        <w:t xml:space="preserve">do </w:t>
      </w:r>
      <w:proofErr w:type="spellStart"/>
      <w:r w:rsidR="003738B8">
        <w:rPr>
          <w:sz w:val="22"/>
          <w:szCs w:val="22"/>
        </w:rPr>
        <w:t>povratka</w:t>
      </w:r>
      <w:proofErr w:type="spellEnd"/>
      <w:r w:rsidR="003738B8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odsutne</w:t>
      </w:r>
      <w:proofErr w:type="spellEnd"/>
      <w:r w:rsidR="003738B8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zaposlenice</w:t>
      </w:r>
      <w:proofErr w:type="spellEnd"/>
      <w:r w:rsidR="000A797A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na</w:t>
      </w:r>
      <w:proofErr w:type="spellEnd"/>
      <w:r w:rsidR="00EF3431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te</w:t>
      </w:r>
      <w:proofErr w:type="spellEnd"/>
      <w:r w:rsidR="000A797A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poslove</w:t>
      </w:r>
      <w:proofErr w:type="spellEnd"/>
      <w:r w:rsidR="000A797A">
        <w:rPr>
          <w:sz w:val="22"/>
          <w:szCs w:val="22"/>
        </w:rPr>
        <w:t>.</w:t>
      </w:r>
    </w:p>
    <w:p w:rsidR="00DA7A79" w:rsidRPr="009F6DBF" w:rsidRDefault="00DA7A79" w:rsidP="00963B0A">
      <w:pPr>
        <w:ind w:right="-149"/>
        <w:rPr>
          <w:sz w:val="22"/>
          <w:szCs w:val="22"/>
        </w:rPr>
      </w:pPr>
    </w:p>
    <w:p w:rsidR="00EF3431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i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program</w:t>
      </w:r>
      <w:r w:rsidR="00EF3431">
        <w:rPr>
          <w:color w:val="333333"/>
          <w:sz w:val="22"/>
          <w:szCs w:val="22"/>
          <w:shd w:val="clear" w:color="auto" w:fill="FFFFFF"/>
        </w:rPr>
        <w:t>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</w:p>
    <w:p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B1540">
        <w:rPr>
          <w:color w:val="333333"/>
          <w:sz w:val="22"/>
          <w:szCs w:val="22"/>
          <w:shd w:val="clear" w:color="auto" w:fill="FFFFFF"/>
        </w:rPr>
        <w:t>ili</w:t>
      </w:r>
      <w:proofErr w:type="spellEnd"/>
      <w:r w:rsidR="000B1540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B1540">
        <w:rPr>
          <w:color w:val="333333"/>
          <w:sz w:val="22"/>
          <w:szCs w:val="22"/>
          <w:shd w:val="clear" w:color="auto" w:fill="FFFFFF"/>
        </w:rPr>
        <w:t>svjedodžbu</w:t>
      </w:r>
      <w:proofErr w:type="spellEnd"/>
      <w:r w:rsidR="000B1540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5B4E4F">
        <w:rPr>
          <w:color w:val="333333"/>
          <w:sz w:val="22"/>
          <w:szCs w:val="22"/>
        </w:rPr>
        <w:t>rodni</w:t>
      </w:r>
      <w:proofErr w:type="spellEnd"/>
      <w:proofErr w:type="gram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5B4E4F">
        <w:rPr>
          <w:bCs/>
          <w:sz w:val="22"/>
          <w:szCs w:val="22"/>
        </w:rPr>
        <w:t>,  90</w:t>
      </w:r>
      <w:proofErr w:type="gramEnd"/>
      <w:r w:rsidR="00A1583B" w:rsidRPr="005B4E4F">
        <w:rPr>
          <w:bCs/>
          <w:sz w:val="22"/>
          <w:szCs w:val="22"/>
        </w:rPr>
        <w:t>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98/19.</w:t>
      </w:r>
      <w:r w:rsidR="005B4E4F">
        <w:rPr>
          <w:sz w:val="22"/>
          <w:szCs w:val="22"/>
        </w:rPr>
        <w:t>i</w:t>
      </w:r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6640B5" w:rsidP="00963B0A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C92182">
        <w:rPr>
          <w:color w:val="333333"/>
          <w:sz w:val="22"/>
          <w:szCs w:val="22"/>
          <w:shd w:val="clear" w:color="auto" w:fill="FFFFFF"/>
        </w:rPr>
        <w:t xml:space="preserve">,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="00C92182">
        <w:rPr>
          <w:color w:val="333333"/>
          <w:sz w:val="22"/>
          <w:szCs w:val="22"/>
          <w:shd w:val="clear" w:color="auto" w:fill="FFFFFF"/>
        </w:rPr>
        <w:t xml:space="preserve"> i 64/20.)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lastRenderedPageBreak/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AD1937">
        <w:rPr>
          <w:b/>
          <w:sz w:val="22"/>
          <w:szCs w:val="22"/>
        </w:rPr>
        <w:t>11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AD1937">
        <w:rPr>
          <w:b/>
          <w:sz w:val="22"/>
          <w:szCs w:val="22"/>
        </w:rPr>
        <w:t>ožujka</w:t>
      </w:r>
      <w:proofErr w:type="spellEnd"/>
      <w:proofErr w:type="gram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</w:t>
      </w:r>
      <w:r w:rsidR="00AD1937">
        <w:rPr>
          <w:b/>
          <w:sz w:val="22"/>
          <w:szCs w:val="22"/>
        </w:rPr>
        <w:t>1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</w:t>
      </w:r>
      <w:r w:rsidR="00AD1937">
        <w:rPr>
          <w:b/>
          <w:sz w:val="22"/>
          <w:szCs w:val="22"/>
        </w:rPr>
        <w:t>19</w:t>
      </w:r>
      <w:r w:rsidR="00821822" w:rsidRPr="009F6DBF">
        <w:rPr>
          <w:b/>
          <w:sz w:val="22"/>
          <w:szCs w:val="22"/>
        </w:rPr>
        <w:t>.</w:t>
      </w:r>
      <w:r w:rsidR="00AD1937">
        <w:rPr>
          <w:b/>
          <w:sz w:val="22"/>
          <w:szCs w:val="22"/>
        </w:rPr>
        <w:t xml:space="preserve"> </w:t>
      </w:r>
      <w:proofErr w:type="spellStart"/>
      <w:proofErr w:type="gramStart"/>
      <w:r w:rsidR="00AD1937">
        <w:rPr>
          <w:b/>
          <w:sz w:val="22"/>
          <w:szCs w:val="22"/>
        </w:rPr>
        <w:t>ožujka</w:t>
      </w:r>
      <w:proofErr w:type="spellEnd"/>
      <w:proofErr w:type="gramEnd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</w:t>
      </w:r>
      <w:r w:rsidR="00AD1937">
        <w:rPr>
          <w:b/>
          <w:sz w:val="22"/>
          <w:szCs w:val="22"/>
        </w:rPr>
        <w:t>1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:rsidR="004208E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KLASA:112-01/2</w:t>
      </w:r>
      <w:r w:rsidR="00AD1937">
        <w:rPr>
          <w:color w:val="333333"/>
          <w:sz w:val="22"/>
          <w:szCs w:val="22"/>
          <w:shd w:val="clear" w:color="auto" w:fill="FFFFFF"/>
        </w:rPr>
        <w:t>1</w:t>
      </w:r>
      <w:r>
        <w:rPr>
          <w:color w:val="333333"/>
          <w:sz w:val="22"/>
          <w:szCs w:val="22"/>
          <w:shd w:val="clear" w:color="auto" w:fill="FFFFFF"/>
        </w:rPr>
        <w:t>-01/</w:t>
      </w:r>
      <w:r w:rsidR="000C369C">
        <w:rPr>
          <w:color w:val="333333"/>
          <w:sz w:val="22"/>
          <w:szCs w:val="22"/>
          <w:shd w:val="clear" w:color="auto" w:fill="FFFFFF"/>
        </w:rPr>
        <w:t>3</w:t>
      </w:r>
      <w:bookmarkStart w:id="0" w:name="_GoBack"/>
      <w:bookmarkEnd w:id="0"/>
    </w:p>
    <w:p w:rsidR="004208E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URBROJ</w:t>
      </w:r>
      <w:proofErr w:type="gramStart"/>
      <w:r>
        <w:rPr>
          <w:color w:val="333333"/>
          <w:sz w:val="22"/>
          <w:szCs w:val="22"/>
          <w:shd w:val="clear" w:color="auto" w:fill="FFFFFF"/>
        </w:rPr>
        <w:t>:2117</w:t>
      </w:r>
      <w:proofErr w:type="gramEnd"/>
      <w:r>
        <w:rPr>
          <w:color w:val="333333"/>
          <w:sz w:val="22"/>
          <w:szCs w:val="22"/>
          <w:shd w:val="clear" w:color="auto" w:fill="FFFFFF"/>
        </w:rPr>
        <w:t>/1-47-01-2</w:t>
      </w:r>
      <w:r w:rsidR="00AD1937">
        <w:rPr>
          <w:color w:val="333333"/>
          <w:sz w:val="22"/>
          <w:szCs w:val="22"/>
          <w:shd w:val="clear" w:color="auto" w:fill="FFFFFF"/>
        </w:rPr>
        <w:t>1</w:t>
      </w:r>
      <w:r>
        <w:rPr>
          <w:color w:val="333333"/>
          <w:sz w:val="22"/>
          <w:szCs w:val="22"/>
          <w:shd w:val="clear" w:color="auto" w:fill="FFFFFF"/>
        </w:rPr>
        <w:t>-</w:t>
      </w:r>
      <w:r w:rsidR="00AD1937">
        <w:rPr>
          <w:color w:val="333333"/>
          <w:sz w:val="22"/>
          <w:szCs w:val="22"/>
          <w:shd w:val="clear" w:color="auto" w:fill="FFFFFF"/>
        </w:rPr>
        <w:t>3</w:t>
      </w:r>
    </w:p>
    <w:p w:rsidR="003D530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Ploče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</w:t>
      </w:r>
      <w:r w:rsidR="00AD1937">
        <w:rPr>
          <w:color w:val="333333"/>
          <w:sz w:val="22"/>
          <w:szCs w:val="22"/>
          <w:shd w:val="clear" w:color="auto" w:fill="FFFFFF"/>
        </w:rPr>
        <w:t>11</w:t>
      </w:r>
      <w:r>
        <w:rPr>
          <w:color w:val="333333"/>
          <w:sz w:val="22"/>
          <w:szCs w:val="22"/>
          <w:shd w:val="clear" w:color="auto" w:fill="FFFFFF"/>
        </w:rPr>
        <w:t>.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AD1937">
        <w:rPr>
          <w:color w:val="333333"/>
          <w:sz w:val="22"/>
          <w:szCs w:val="22"/>
          <w:shd w:val="clear" w:color="auto" w:fill="FFFFFF"/>
        </w:rPr>
        <w:t>ožujka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202</w:t>
      </w:r>
      <w:r w:rsidR="00AD1937">
        <w:rPr>
          <w:color w:val="333333"/>
          <w:sz w:val="22"/>
          <w:szCs w:val="22"/>
          <w:shd w:val="clear" w:color="auto" w:fill="FFFFFF"/>
        </w:rPr>
        <w:t>1</w:t>
      </w:r>
      <w:r>
        <w:rPr>
          <w:color w:val="333333"/>
          <w:sz w:val="22"/>
          <w:szCs w:val="22"/>
          <w:shd w:val="clear" w:color="auto" w:fill="FFFFFF"/>
        </w:rPr>
        <w:t>.</w:t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 w:rsidR="00181262"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 w:rsidR="00181262">
        <w:rPr>
          <w:color w:val="333333"/>
          <w:sz w:val="22"/>
          <w:szCs w:val="22"/>
          <w:shd w:val="clear" w:color="auto" w:fill="FFFFFF"/>
        </w:rPr>
        <w:t>:</w:t>
      </w:r>
    </w:p>
    <w:p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  <w:proofErr w:type="gramEnd"/>
    </w:p>
    <w:p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EC" w:rsidRDefault="001276EC" w:rsidP="000F6762">
      <w:r>
        <w:separator/>
      </w:r>
    </w:p>
  </w:endnote>
  <w:endnote w:type="continuationSeparator" w:id="0">
    <w:p w:rsidR="001276EC" w:rsidRDefault="001276EC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EC" w:rsidRDefault="001276EC" w:rsidP="000F6762">
      <w:r>
        <w:separator/>
      </w:r>
    </w:p>
  </w:footnote>
  <w:footnote w:type="continuationSeparator" w:id="0">
    <w:p w:rsidR="001276EC" w:rsidRDefault="001276EC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11A18"/>
    <w:rsid w:val="0002123E"/>
    <w:rsid w:val="00030FDF"/>
    <w:rsid w:val="000A797A"/>
    <w:rsid w:val="000B1540"/>
    <w:rsid w:val="000C0E57"/>
    <w:rsid w:val="000C369C"/>
    <w:rsid w:val="000C58A2"/>
    <w:rsid w:val="000D429D"/>
    <w:rsid w:val="000F6762"/>
    <w:rsid w:val="00110578"/>
    <w:rsid w:val="001155AE"/>
    <w:rsid w:val="001276EC"/>
    <w:rsid w:val="00157CF2"/>
    <w:rsid w:val="00164682"/>
    <w:rsid w:val="00181262"/>
    <w:rsid w:val="00192A7F"/>
    <w:rsid w:val="001C7EA5"/>
    <w:rsid w:val="00203556"/>
    <w:rsid w:val="0027771A"/>
    <w:rsid w:val="00284264"/>
    <w:rsid w:val="002C2598"/>
    <w:rsid w:val="002E5629"/>
    <w:rsid w:val="002E574C"/>
    <w:rsid w:val="003135AA"/>
    <w:rsid w:val="00321839"/>
    <w:rsid w:val="00327742"/>
    <w:rsid w:val="00327874"/>
    <w:rsid w:val="0033166A"/>
    <w:rsid w:val="003623AD"/>
    <w:rsid w:val="00362855"/>
    <w:rsid w:val="00371A11"/>
    <w:rsid w:val="00372A93"/>
    <w:rsid w:val="003738B8"/>
    <w:rsid w:val="00393661"/>
    <w:rsid w:val="003A3A13"/>
    <w:rsid w:val="003C65D1"/>
    <w:rsid w:val="003D5306"/>
    <w:rsid w:val="00413EBD"/>
    <w:rsid w:val="004206BC"/>
    <w:rsid w:val="004208E6"/>
    <w:rsid w:val="00422DB0"/>
    <w:rsid w:val="00452A16"/>
    <w:rsid w:val="00466D1F"/>
    <w:rsid w:val="00483CCB"/>
    <w:rsid w:val="00484BFD"/>
    <w:rsid w:val="004A330A"/>
    <w:rsid w:val="004C4B6B"/>
    <w:rsid w:val="004D4EB9"/>
    <w:rsid w:val="00517FDC"/>
    <w:rsid w:val="005466B8"/>
    <w:rsid w:val="00553AEA"/>
    <w:rsid w:val="005565CE"/>
    <w:rsid w:val="00594BD7"/>
    <w:rsid w:val="005B4E4F"/>
    <w:rsid w:val="005E0973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97035"/>
    <w:rsid w:val="006A6E8E"/>
    <w:rsid w:val="006C79F6"/>
    <w:rsid w:val="006E7BE5"/>
    <w:rsid w:val="00706644"/>
    <w:rsid w:val="00706AFD"/>
    <w:rsid w:val="007103FF"/>
    <w:rsid w:val="007234D8"/>
    <w:rsid w:val="00731EC5"/>
    <w:rsid w:val="007A5D20"/>
    <w:rsid w:val="007C3D3D"/>
    <w:rsid w:val="007D17D9"/>
    <w:rsid w:val="007F3C56"/>
    <w:rsid w:val="00806CF0"/>
    <w:rsid w:val="00821822"/>
    <w:rsid w:val="00882474"/>
    <w:rsid w:val="0089020E"/>
    <w:rsid w:val="008B7A69"/>
    <w:rsid w:val="008F2761"/>
    <w:rsid w:val="00910224"/>
    <w:rsid w:val="009206E6"/>
    <w:rsid w:val="009264D8"/>
    <w:rsid w:val="00963B0A"/>
    <w:rsid w:val="009A780B"/>
    <w:rsid w:val="009F6DBF"/>
    <w:rsid w:val="00A01FAB"/>
    <w:rsid w:val="00A0756D"/>
    <w:rsid w:val="00A1583B"/>
    <w:rsid w:val="00A7683F"/>
    <w:rsid w:val="00AD1937"/>
    <w:rsid w:val="00B02E7F"/>
    <w:rsid w:val="00B0351F"/>
    <w:rsid w:val="00B06EEA"/>
    <w:rsid w:val="00B11F86"/>
    <w:rsid w:val="00B257E1"/>
    <w:rsid w:val="00B579E6"/>
    <w:rsid w:val="00BF7D50"/>
    <w:rsid w:val="00C050AC"/>
    <w:rsid w:val="00C92182"/>
    <w:rsid w:val="00CE109F"/>
    <w:rsid w:val="00CE3606"/>
    <w:rsid w:val="00D05BF0"/>
    <w:rsid w:val="00D14C2C"/>
    <w:rsid w:val="00D81EAF"/>
    <w:rsid w:val="00D96F13"/>
    <w:rsid w:val="00DA7A79"/>
    <w:rsid w:val="00E1162A"/>
    <w:rsid w:val="00E362DA"/>
    <w:rsid w:val="00E42202"/>
    <w:rsid w:val="00E454FF"/>
    <w:rsid w:val="00E72251"/>
    <w:rsid w:val="00E9093C"/>
    <w:rsid w:val="00EF3431"/>
    <w:rsid w:val="00F01310"/>
    <w:rsid w:val="00F44C31"/>
    <w:rsid w:val="00F840E1"/>
    <w:rsid w:val="00F9240E"/>
    <w:rsid w:val="00FD40A0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159</cp:revision>
  <cp:lastPrinted>2020-10-15T08:41:00Z</cp:lastPrinted>
  <dcterms:created xsi:type="dcterms:W3CDTF">2018-07-23T08:01:00Z</dcterms:created>
  <dcterms:modified xsi:type="dcterms:W3CDTF">2021-03-11T11:42:00Z</dcterms:modified>
</cp:coreProperties>
</file>